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hanging="0"/>
        <w:jc w:val="center"/>
        <w:rPr>
          <w:rFonts w:eastAsia="Times New Roman" w:cs="Times New Roman"/>
          <w:b/>
          <w:b/>
          <w:sz w:val="20"/>
          <w:szCs w:val="20"/>
          <w:lang w:eastAsia="ru-RU"/>
        </w:rPr>
      </w:pPr>
      <w:r>
        <w:rPr>
          <w:rFonts w:eastAsia="Times New Roman" w:cs="Times New Roman"/>
          <w:b/>
          <w:sz w:val="20"/>
          <w:szCs w:val="20"/>
          <w:lang w:eastAsia="ru-RU"/>
        </w:rPr>
        <w:t>ПАСПОРТ</w:t>
      </w:r>
    </w:p>
    <w:p>
      <w:pPr>
        <w:pStyle w:val="Normal"/>
        <w:ind w:hanging="0"/>
        <w:jc w:val="center"/>
        <w:rPr>
          <w:rFonts w:eastAsia="Times New Roman" w:cs="Times New Roman"/>
          <w:b/>
          <w:b/>
          <w:color w:val="000000" w:themeColor="text1"/>
          <w:sz w:val="20"/>
          <w:szCs w:val="20"/>
          <w:lang w:eastAsia="ru-RU"/>
        </w:rPr>
      </w:pPr>
      <w:r>
        <w:rPr>
          <w:rFonts w:eastAsia="Times New Roman" w:cs="Times New Roman"/>
          <w:b/>
          <w:color w:val="000000" w:themeColor="text1"/>
          <w:sz w:val="20"/>
          <w:szCs w:val="20"/>
          <w:lang w:eastAsia="ru-RU"/>
        </w:rPr>
        <w:t>муниципального проекта</w:t>
      </w:r>
    </w:p>
    <w:p>
      <w:pPr>
        <w:pStyle w:val="Normal"/>
        <w:ind w:hanging="0"/>
        <w:jc w:val="center"/>
        <w:rPr>
          <w:rFonts w:eastAsia="Times New Roman" w:cs="Times New Roman"/>
          <w:b/>
          <w:b/>
          <w:bCs/>
          <w:sz w:val="20"/>
          <w:szCs w:val="20"/>
          <w:lang w:eastAsia="ru-RU"/>
        </w:rPr>
      </w:pPr>
      <w:r>
        <w:rPr>
          <w:rFonts w:eastAsia="Times New Roman" w:cs="Times New Roman"/>
          <w:b/>
          <w:sz w:val="20"/>
          <w:szCs w:val="20"/>
          <w:lang w:eastAsia="ru-RU"/>
        </w:rPr>
        <w:t>«Театр глазами детей»</w:t>
      </w:r>
    </w:p>
    <w:p>
      <w:pPr>
        <w:pStyle w:val="Normal"/>
        <w:ind w:hanging="0"/>
        <w:jc w:val="lef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</w:r>
    </w:p>
    <w:tbl>
      <w:tblPr>
        <w:tblStyle w:val="a3"/>
        <w:tblW w:w="9606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099"/>
        <w:gridCol w:w="7506"/>
      </w:tblGrid>
      <w:tr>
        <w:trPr/>
        <w:tc>
          <w:tcPr>
            <w:tcW w:w="2099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Наименование проекта</w:t>
            </w:r>
          </w:p>
        </w:tc>
        <w:tc>
          <w:tcPr>
            <w:tcW w:w="7506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ru-RU" w:eastAsia="ru-RU" w:bidi="ar-SA"/>
              </w:rPr>
              <w:t>«Театр глазами детей»</w:t>
            </w:r>
          </w:p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>
          <w:trHeight w:val="2645" w:hRule="atLeast"/>
        </w:trPr>
        <w:tc>
          <w:tcPr>
            <w:tcW w:w="2099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Программно-целевые инструменты проекта</w:t>
            </w:r>
          </w:p>
        </w:tc>
        <w:tc>
          <w:tcPr>
            <w:tcW w:w="7506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ru-RU" w:eastAsia="ru-RU" w:bidi="ar-SA"/>
              </w:rPr>
              <w:t>- Конвенция о правах ребенка;</w:t>
            </w:r>
          </w:p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ru-RU" w:eastAsia="ru-RU" w:bidi="ar-SA"/>
              </w:rPr>
              <w:t>- Всеобщая декларация прав человека;</w:t>
            </w:r>
          </w:p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ru-RU" w:eastAsia="ru-RU" w:bidi="ar-SA"/>
              </w:rPr>
              <w:t>- Всемирная декларация об обеспечении выживания, защиты и развития детей;</w:t>
            </w:r>
          </w:p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ru-RU" w:eastAsia="ru-RU" w:bidi="ar-SA"/>
              </w:rPr>
              <w:t>- Конституция РФ;</w:t>
            </w:r>
          </w:p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ru-RU" w:eastAsia="ru-RU" w:bidi="ar-SA"/>
              </w:rPr>
              <w:t>- Семейный кодекс РФ;</w:t>
            </w:r>
          </w:p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ru-RU" w:eastAsia="ru-RU" w:bidi="ar-SA"/>
              </w:rPr>
              <w:t>- Закон Российской Федерации от 29 декабря 2012 года N 273-ФЗ «Об образовании в Российской Федерации»;</w:t>
            </w:r>
          </w:p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ru-RU" w:eastAsia="ru-RU" w:bidi="ar-SA"/>
              </w:rPr>
              <w:t>- Федеральный закон Российской Федерации от 24 июля 1998 г. N 124-ФЗ "Об основных гарантиях прав ребенка в Российской Федерации";</w:t>
            </w:r>
          </w:p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373737"/>
                <w:kern w:val="0"/>
                <w:sz w:val="20"/>
                <w:szCs w:val="20"/>
                <w:lang w:val="ru-RU" w:eastAsia="ru-RU" w:bidi="ar-SA"/>
              </w:rPr>
              <w:t xml:space="preserve">- 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ru-RU" w:eastAsia="ru-RU" w:bidi="ar-SA"/>
              </w:rPr>
              <w:t>Приказ Минобрнауки России № 1155 от 17 октября 2013 г. «Об утверждении федерального государственного образовательного стандарта дошкольного образования».</w:t>
            </w:r>
          </w:p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ru-RU" w:eastAsia="ru-RU" w:bidi="ar-SA"/>
              </w:rPr>
              <w:t xml:space="preserve">- </w:t>
            </w:r>
            <w:hyperlink r:id="rId2">
              <w:r>
                <w:rPr>
                  <w:rFonts w:eastAsia="Calibri" w:cs="Times New Roman"/>
                  <w:color w:val="auto"/>
                  <w:kern w:val="0"/>
                  <w:sz w:val="20"/>
                  <w:szCs w:val="20"/>
                  <w:u w:val="none"/>
                  <w:lang w:val="ru-RU" w:eastAsia="en-US" w:bidi="ar-SA"/>
                </w:rPr>
                <w:t>Государственная программа Российской Федерации "Развитие культуры и туризма" на 2013-2020 годы</w:t>
              </w:r>
            </w:hyperlink>
          </w:p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- Закон Чувашской Республики от 27.05.1993 "О культуре";</w:t>
            </w:r>
          </w:p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ru-RU" w:eastAsia="ru-RU" w:bidi="ar-SA"/>
              </w:rPr>
              <w:t>- Закон Чувашской Республики от 30 июля 2013 года N 50 «Об образовании в Чувашской Республике»;</w:t>
            </w:r>
          </w:p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- Республиканская целевая программа развития образования в Чувашской Республике на 2011–2020 годы, утвержденная постановлением Кабинета Министров Чувашской Республики от 25 сентября 2008 г. № 293 (в действующей редакции).</w:t>
            </w:r>
          </w:p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- Муниципальная программа города Чебоксары «Развитие культуры и туризма» в городе Чебоксары» на 2014 -2020 годы</w:t>
            </w:r>
          </w:p>
        </w:tc>
      </w:tr>
      <w:tr>
        <w:trPr>
          <w:trHeight w:val="20" w:hRule="atLeast"/>
        </w:trPr>
        <w:tc>
          <w:tcPr>
            <w:tcW w:w="2099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Цель проекта</w:t>
            </w:r>
          </w:p>
        </w:tc>
        <w:tc>
          <w:tcPr>
            <w:tcW w:w="7506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Приобщение дошкольников к театральному искусству, к театрализованной деятельности, способствовать формированию творческой личности посредством сотрудничества  с социальными институтами города Чебоксары</w:t>
            </w:r>
          </w:p>
        </w:tc>
      </w:tr>
      <w:tr>
        <w:trPr>
          <w:trHeight w:val="20" w:hRule="atLeast"/>
        </w:trPr>
        <w:tc>
          <w:tcPr>
            <w:tcW w:w="2099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Задачи проекта</w:t>
            </w:r>
          </w:p>
        </w:tc>
        <w:tc>
          <w:tcPr>
            <w:tcW w:w="7506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ru-RU" w:eastAsia="ru-RU" w:bidi="ar-SA"/>
              </w:rPr>
              <w:t xml:space="preserve">- </w:t>
            </w:r>
            <w:r>
              <w:rPr>
                <w:rFonts w:eastAsia="Calibri" w:cs="Times New Roman"/>
                <w:bCs/>
                <w:kern w:val="0"/>
                <w:sz w:val="20"/>
                <w:szCs w:val="20"/>
                <w:lang w:val="ru-RU" w:eastAsia="ru-RU" w:bidi="ar-SA"/>
              </w:rPr>
              <w:t>формировать познавательные интересы к театральной культуре (театральному искусству);</w:t>
            </w:r>
          </w:p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ru-RU" w:eastAsia="ru-RU" w:bidi="ar-SA"/>
              </w:rPr>
              <w:t>- способствовать активизации полученных знаний в различных видах детской деятельности;</w:t>
            </w:r>
          </w:p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bCs/>
                <w:kern w:val="0"/>
                <w:sz w:val="20"/>
                <w:szCs w:val="20"/>
                <w:lang w:val="ru-RU" w:eastAsia="ru-RU" w:bidi="ar-SA"/>
              </w:rPr>
              <w:t>- знакомить с театрами города, артистами и с людьми других профессий театрального искусства;</w:t>
            </w:r>
          </w:p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bCs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Calibri" w:cs="Times New Roman"/>
                <w:bCs/>
                <w:kern w:val="0"/>
                <w:sz w:val="20"/>
                <w:szCs w:val="20"/>
                <w:lang w:val="ru-RU" w:eastAsia="ru-RU" w:bidi="ar-SA"/>
              </w:rPr>
              <w:t>- создавать необходимую творческую проектировочную среду для благоприятного саморазвития ребенка, условия для развития творческой активности детей в театрализованной деятельности;</w:t>
            </w:r>
          </w:p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bCs/>
                <w:kern w:val="0"/>
                <w:sz w:val="20"/>
                <w:szCs w:val="20"/>
                <w:lang w:val="ru-RU" w:eastAsia="ru-RU" w:bidi="ar-SA"/>
              </w:rPr>
              <w:t>- повышать профессиональный уровень педагогов по приобщению дошкольников к театральной культуре (театральному искусству);</w:t>
            </w:r>
          </w:p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bCs/>
                <w:kern w:val="0"/>
                <w:sz w:val="20"/>
                <w:szCs w:val="20"/>
                <w:lang w:val="ru-RU" w:eastAsia="ru-RU" w:bidi="ar-SA"/>
              </w:rPr>
              <w:t>- способствовать укреплению сотрудничества ДОУ и семьи в развитии духовно-богатой личности ребенка; в раннем раскрытии творческого потенциала (одаренности) ребенка;</w:t>
            </w:r>
          </w:p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kern w:val="0"/>
                <w:sz w:val="20"/>
                <w:szCs w:val="20"/>
                <w:lang w:val="ru-RU" w:eastAsia="ru-RU" w:bidi="ar-SA"/>
              </w:rPr>
              <w:t>- формировать эффективную систему социального партнерства.</w:t>
            </w:r>
          </w:p>
        </w:tc>
      </w:tr>
      <w:tr>
        <w:trPr>
          <w:trHeight w:val="20" w:hRule="atLeast"/>
        </w:trPr>
        <w:tc>
          <w:tcPr>
            <w:tcW w:w="2099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ru-RU" w:eastAsia="ru-RU" w:bidi="ar-SA"/>
              </w:rPr>
              <w:t>Целевые индикаторы и показатели проекта</w:t>
            </w:r>
          </w:p>
        </w:tc>
        <w:tc>
          <w:tcPr>
            <w:tcW w:w="7506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Реализация проекта позволит достичь следующих показателей:</w:t>
            </w:r>
          </w:p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- формирование интереса к театрализованной деятельности, расширение игрового опыта, приобщение к театральной культуре, музыке.</w:t>
            </w:r>
          </w:p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- увеличение количества воспитанников с совершенными артистическими навыками, развитыми позитивными качествами;</w:t>
            </w:r>
          </w:p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- установление в коллективе положительно-эмоциональной сферы посредством театрализованной деятельности.</w:t>
            </w:r>
          </w:p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- увеличение профессионального уровня педагогов по приобщению детей к театральной культуре и созданию предметно-развивающей среды, способствующей развитию у детей интереса к театрализованной деятельности.</w:t>
            </w:r>
          </w:p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- укрепление сотрудничества ДОУ и семьи по посещению объектов культуры, культурных мероприятий и привлечению к совместному с детьми участию в театрализованной деятельности;</w:t>
            </w:r>
          </w:p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b/>
                <w:b/>
                <w:bCs/>
                <w:color w:val="111111"/>
                <w:sz w:val="20"/>
                <w:szCs w:val="20"/>
                <w:lang w:eastAsia="ru-RU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- формирование эффективной системы социального партнерства.</w:t>
            </w:r>
          </w:p>
        </w:tc>
      </w:tr>
      <w:tr>
        <w:trPr>
          <w:trHeight w:val="20" w:hRule="atLeast"/>
        </w:trPr>
        <w:tc>
          <w:tcPr>
            <w:tcW w:w="2099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Сроки реализации проекта</w:t>
            </w:r>
          </w:p>
        </w:tc>
        <w:tc>
          <w:tcPr>
            <w:tcW w:w="7506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ru-RU" w:eastAsia="ru-RU" w:bidi="ar-SA"/>
              </w:rPr>
              <w:t>С ноября 2018 года</w:t>
            </w:r>
          </w:p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ru-RU" w:eastAsia="ru-RU" w:bidi="ar-SA"/>
              </w:rPr>
              <w:t>Долгосрочный</w:t>
            </w:r>
          </w:p>
        </w:tc>
      </w:tr>
      <w:tr>
        <w:trPr>
          <w:trHeight w:val="20" w:hRule="atLeast"/>
        </w:trPr>
        <w:tc>
          <w:tcPr>
            <w:tcW w:w="2099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Основные</w:t>
            </w:r>
          </w:p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мероприятия</w:t>
            </w:r>
          </w:p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cap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проекта</w:t>
            </w:r>
          </w:p>
        </w:tc>
        <w:tc>
          <w:tcPr>
            <w:tcW w:w="7506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kern w:val="0"/>
                <w:sz w:val="20"/>
                <w:szCs w:val="20"/>
                <w:lang w:val="ru-RU" w:eastAsia="ru-RU" w:bidi="ar-SA"/>
              </w:rPr>
              <w:t>- сотрудничество с социальными учреждениями города;</w:t>
            </w:r>
          </w:p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kern w:val="0"/>
                <w:sz w:val="20"/>
                <w:szCs w:val="20"/>
                <w:lang w:val="ru-RU" w:eastAsia="ru-RU" w:bidi="ar-SA"/>
              </w:rPr>
              <w:t>- экскурсии в   театры    города;</w:t>
            </w:r>
          </w:p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kern w:val="0"/>
                <w:sz w:val="20"/>
                <w:szCs w:val="20"/>
                <w:lang w:val="ru-RU" w:eastAsia="ru-RU" w:bidi="ar-SA"/>
              </w:rPr>
              <w:t>- выставка детских изобразительных работ;</w:t>
            </w:r>
          </w:p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kern w:val="0"/>
                <w:sz w:val="20"/>
                <w:szCs w:val="20"/>
                <w:lang w:val="ru-RU" w:eastAsia="ru-RU" w:bidi="ar-SA"/>
              </w:rPr>
              <w:t>- встречи с интересными и знаменитыми актерами и деятелями театрального искусства.</w:t>
            </w:r>
          </w:p>
        </w:tc>
      </w:tr>
      <w:tr>
        <w:trPr>
          <w:trHeight w:val="20" w:hRule="atLeast"/>
        </w:trPr>
        <w:tc>
          <w:tcPr>
            <w:tcW w:w="2099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Ожидаемый конечный результат реализации проекта</w:t>
            </w:r>
          </w:p>
        </w:tc>
        <w:tc>
          <w:tcPr>
            <w:tcW w:w="7506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ru-RU" w:eastAsia="ru-RU" w:bidi="ar-SA"/>
              </w:rPr>
              <w:t xml:space="preserve">- </w:t>
            </w:r>
            <w:r>
              <w:rPr>
                <w:rFonts w:eastAsia="Calibri" w:cs="Times New Roman"/>
                <w:bCs/>
                <w:kern w:val="0"/>
                <w:sz w:val="20"/>
                <w:szCs w:val="20"/>
                <w:lang w:val="ru-RU" w:eastAsia="ru-RU" w:bidi="ar-SA"/>
              </w:rPr>
              <w:t>сформированы познавательные интересы к театральной культуре (театральному искусству);</w:t>
            </w:r>
          </w:p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ru-RU" w:eastAsia="ru-RU" w:bidi="ar-SA"/>
              </w:rPr>
              <w:t>- активно используют полученные знания в различных видах детской деятельности;</w:t>
            </w:r>
          </w:p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bCs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Calibri" w:cs="Times New Roman"/>
                <w:bCs/>
                <w:kern w:val="0"/>
                <w:sz w:val="20"/>
                <w:szCs w:val="20"/>
                <w:lang w:val="ru-RU" w:eastAsia="ru-RU" w:bidi="ar-SA"/>
              </w:rPr>
              <w:t>- создана необходимая творческая проектировочная среда для благоприятного саморазвития ребенка, условия для развития творческой активности детей в театрализованной деятельности (исполнительские творчество, способности свободно и раскрепощено держаться при выступлении и т. п.)</w:t>
            </w:r>
          </w:p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bCs/>
                <w:kern w:val="0"/>
                <w:sz w:val="20"/>
                <w:szCs w:val="20"/>
                <w:lang w:val="ru-RU" w:eastAsia="ru-RU" w:bidi="ar-SA"/>
              </w:rPr>
              <w:t>- высокий профессиональный уровень педагогов по приобщению дошкольников к театральной культуре (театральному искусству);</w:t>
            </w:r>
          </w:p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bCs/>
                <w:kern w:val="0"/>
                <w:sz w:val="20"/>
                <w:szCs w:val="20"/>
                <w:lang w:val="ru-RU" w:eastAsia="ru-RU" w:bidi="ar-SA"/>
              </w:rPr>
              <w:t>- установлено сотрудничество ДОУ и семьи в развитии духовно-богатой личности ребенка; в раннем раскрытии творческого потенциала (одаренности) ребенка;</w:t>
            </w:r>
          </w:p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kern w:val="0"/>
                <w:sz w:val="20"/>
                <w:szCs w:val="20"/>
                <w:lang w:val="ru-RU" w:eastAsia="ru-RU" w:bidi="ar-SA"/>
              </w:rPr>
              <w:t>- сформирована эффективная система социального партнерства.</w:t>
            </w:r>
          </w:p>
        </w:tc>
      </w:tr>
    </w:tbl>
    <w:p>
      <w:pPr>
        <w:pStyle w:val="Normal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jc w:val="left"/>
        <w:rPr>
          <w:rFonts w:cs="Times New Roman"/>
          <w:sz w:val="20"/>
          <w:szCs w:val="20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4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83ce3"/>
    <w:pPr>
      <w:widowControl/>
      <w:bidi w:val="0"/>
      <w:spacing w:before="0" w:after="0"/>
      <w:ind w:firstLine="709"/>
      <w:jc w:val="both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644789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d31e6c"/>
    <w:pPr>
      <w:spacing w:lineRule="auto" w:line="276" w:before="0" w:after="200"/>
      <w:ind w:left="720" w:hanging="0"/>
      <w:contextualSpacing/>
    </w:pPr>
    <w:rPr>
      <w:rFonts w:ascii="Calibri" w:hAnsi="Calibri" w:eastAsia="Times New Roman" w:cs="Times New Roman"/>
      <w:sz w:val="20"/>
      <w:szCs w:val="20"/>
      <w:lang w:eastAsia="ru-RU"/>
    </w:rPr>
  </w:style>
  <w:style w:type="paragraph" w:styleId="Msonormalmailrucssattributepostfixmailrucssattributepostfixmailrucssattributepostfix" w:customStyle="1">
    <w:name w:val="msonormal_mailru_css_attribute_postfix_mailru_css_attribute_postfix_mailru_css_attribute_postfix"/>
    <w:basedOn w:val="Normal"/>
    <w:qFormat/>
    <w:rsid w:val="00b002aa"/>
    <w:pPr>
      <w:spacing w:beforeAutospacing="1" w:afterAutospacing="1"/>
      <w:ind w:hanging="0"/>
      <w:jc w:val="left"/>
    </w:pPr>
    <w:rPr>
      <w:rFonts w:eastAsia="Times New Roman" w:cs="Times New Roman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-2">
    <w:name w:val="Medium Shading 1 Accent 2"/>
    <w:basedOn w:val="a1"/>
    <w:uiPriority w:val="63"/>
    <w:rsid w:val="00654e98"/>
    <w:pPr>
      <w:jc w:val="left"/>
    </w:pPr>
    <w:rPr>
      <w:rFonts w:asciiTheme="minorHAnsi" w:hAnsiTheme="minorHAnsi"/>
      <w:sz w:val="22"/>
    </w:r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3">
    <w:name w:val="Table Grid"/>
    <w:basedOn w:val="a1"/>
    <w:uiPriority w:val="59"/>
    <w:rsid w:val="00654e9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docs.cntd.ru/document/499091763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LibreOffice/7.0.3.1$Windows_X86_64 LibreOffice_project/d7547858d014d4cf69878db179d326fc3483e082</Application>
  <Pages>2</Pages>
  <Words>515</Words>
  <Characters>3793</Characters>
  <CharactersWithSpaces>4261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2018-11-06T11:11:00Z</dcterms:created>
  <dc:creator>Компьютер1</dc:creator>
  <dc:description/>
  <dc:language>ru-RU</dc:language>
  <cp:lastModifiedBy/>
  <cp:lastPrinted>2017-11-08T13:25:00Z</cp:lastPrinted>
  <dcterms:modified xsi:type="dcterms:W3CDTF">2021-09-03T12:15:27Z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